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[…] is the owner of the land, located at […], with a site area of […], and holder of the exclusive right to build in compliance with the development brief that he/she has developed.</w:t>
      </w:r>
    </w:p>
    <w:p>
      <w:pPr/>
      <w:r>
        <w:rPr/>
        <w:t xml:space="preserve">The registered architect is […].</w:t>
      </w:r>
    </w:p>
    <w:p>
      <w:pPr/>
      <w:r>
        <w:rPr/>
        <w:t xml:space="preserve">His/Her […] registration is recognised in […] or at [...].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2025-06-09T15:01:48+02:00</dcterms:created>
  <dcterms:modified xsi:type="dcterms:W3CDTF">2025-06-09T15:01:48+02:00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