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est propriétaire du terrain, localisé à [...] d’une superficie de [X], et possède de manière exclusive les droits à construire correspondant au programme immobilier qu’il a établi.</w:t>
      </w:r>
    </w:p>
    <w:p>
      <w:pPr/>
      <w:r>
        <w:rPr/>
        <w:t xml:space="preserve">Le titulaire de la licence d’exercice de la profession d’architecte est […].</w:t>
      </w:r>
    </w:p>
    <w:p>
      <w:pPr/>
      <w:r>
        <w:rPr/>
        <w:t xml:space="preserve">La licence d’exercice […] est reconnue en […] ou au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2025-06-09T15:01:00+02:00</dcterms:created>
  <dcterms:modified xsi:type="dcterms:W3CDTF">2025-06-09T15:01:00+02:00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