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L’impact financier de l’assurance requise, souscrite par le Client, sera répercuté sur le Prestataire dans la limite de […] du montant total de ses honoraires.</w:t>
      </w:r>
    </w:p>
    <w:p>
      <w:pPr/>
      <w:r>
        <w:rPr/>
        <w:t xml:space="preserve">Le Client souscrira une police […] conforme à la réglementation applicable qui couvrira l’ensemble des intervenants, conformément au présent contrat. Il s’engage à fournir au Prestataire la police correspondante.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2025-06-09T15:02:06+02:00</dcterms:created>
  <dcterms:modified xsi:type="dcterms:W3CDTF">2025-06-09T15:02:06+02:00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