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Sur la base de […], l’enveloppe financière initiale des travaux est estimée à […], valeur […].</w:t>
      </w:r>
    </w:p>
    <w:p>
      <w:pPr/>
      <w:r>
        <w:rPr/>
        <w:t xml:space="preserve">Le Client a la responsabilité de mettre en adéquation ses objectifs définis à l’article 2.3 et les moyens financiers.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2025-06-09T15:01:20+02:00</dcterms:created>
  <dcterms:modified xsi:type="dcterms:W3CDTF">2025-06-09T15:01:20+02:00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