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necessary, the Consultant may require the services of an adviser for clarification purposes of his/her own services (experts, engineers, lawyers...).</w:t>
      </w:r>
    </w:p>
    <w:p>
      <w:pPr/>
      <w:r>
        <w:rPr/>
        <w:t xml:space="preserve">The cost of these advisory services is considered to be included in the fees of the Consultant and shall not be charged separately to the Client.</w:t>
      </w:r>
    </w:p>
    <w:p>
      <w:pPr/>
      <w:r>
        <w:rPr/>
        <w:t xml:space="preserve">Unlike for the sub-consultants, the Consultant does not require the Client’s approval to appoint advisers.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2025-06-09T15:01:53+02:00</dcterms:created>
  <dcterms:modified xsi:type="dcterms:W3CDTF">2025-06-09T15:01:53+02:00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