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commits his/herself to the extent and within the limit of his/her duties and appointments, as described in this Agreement, to comply with the brief.</w:t>
      </w:r>
    </w:p>
    <w:p>
      <w:pPr/>
      <w:r>
        <w:rPr/>
        <w:t xml:space="preserve">The Consultant is only held liable for the duties that fall within his/her Scope of Services and in accordance with the appendix for the distribution and attribution of services.</w:t>
      </w:r>
    </w:p>
    <w:p>
      <w:pPr/>
      <w:r>
        <w:rPr/>
        <w:t xml:space="preserve">The Consultant will perform his/her services in collaboration with the other consultants of the Client, subject to his/her knowledge of the Scope of Services of these parties and reciprocally.</w:t>
      </w:r>
    </w:p>
    <w:p>
      <w:pPr/>
      <w:r>
        <w:rPr/>
        <w:t xml:space="preserve">The Consultant shall provide information requested by the Client, and necessary for the understanding and the approval of the services that he/ she is appointed to perform within a period compatible with the timetable.</w:t>
      </w:r>
    </w:p>
    <w:p>
      <w:pPr/>
      <w:r>
        <w:rPr/>
        <w:t xml:space="preserve">If the information and the documents provided by the Client are insufficient to allow the Consultant to carry out his/her appointment, or to determine the means necessary to complete the proposed brief, he/she will inform the Client without delay, so that all the additional information shall be provided.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2025-06-09T15:01:47+02:00</dcterms:created>
  <dcterms:modified xsi:type="dcterms:W3CDTF">2025-06-09T15:01:47+02:00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