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client peut dans certains cas confier au Prestataire la réalisation d’une mission de programmation urbaine. Si tel est le cas, le Prestataire devra faire figurer au contrat la réalisation des prestations suivantes :</w:t>
      </w:r>
    </w:p>
    <w:p>
      <w:pPr>
        <w:numPr>
          <w:ilvl w:val="0"/>
          <w:numId w:val="1"/>
        </w:numPr>
      </w:pPr>
      <w:r>
        <w:rPr/>
        <w:t xml:space="preserve">Faisabilité</w:t>
      </w:r>
      <w:br/>
      <w:r>
        <w:rPr/>
        <w:t xml:space="preserve">Cette partie de mission est variable selon les capacités du Client de faire réaliser par ses propres services tout ou partie de cet élément déterminant pour la suite des opérations.</w:t>
      </w:r>
      <w:br/>
      <w:r>
        <w:rPr/>
        <w:t xml:space="preserve"> Distinguer, sans que cette liste soit exhaustive, la faisabilité foncière ou administrative et juridique, la faisabilité technique, la faisabilité économique.</w:t>
      </w:r>
      <w:br/>
      <w:r>
        <w:rPr/>
        <w:t xml:space="preserve">Le Client peut confier cette mission à un économiste en demandant au Prestataire de l’assister.</w:t>
      </w:r>
    </w:p>
    <w:p>
      <w:pPr>
        <w:numPr>
          <w:ilvl w:val="1"/>
          <w:numId w:val="1"/>
        </w:numPr>
      </w:pPr>
      <w:r>
        <w:rPr/>
        <w:t xml:space="preserve">Faisabilité foncière : c’est parfois sur la base d’un “préprogramme quantitatif“ fourni par le Client comportant des surfaces d’équipements, de bureaux, de commerces, de logements ou d’activités que le Prestataire est amené à vérifier si les m2 entrent bien dans la capacité du site.</w:t>
      </w:r>
    </w:p>
    <w:p>
      <w:pPr>
        <w:numPr>
          <w:ilvl w:val="1"/>
          <w:numId w:val="1"/>
        </w:numPr>
      </w:pPr>
      <w:r>
        <w:rPr/>
        <w:t xml:space="preserve">Faisabilité administrative et technique. La mission peut se décliner de la manière suivante :</w:t>
      </w:r>
    </w:p>
    <w:p>
      <w:pPr>
        <w:numPr>
          <w:ilvl w:val="1"/>
          <w:numId w:val="1"/>
        </w:numPr>
      </w:pPr>
      <w:r>
        <w:rPr/>
        <w:t xml:space="preserve">analyse des limites de hauteur et des prospects</w:t>
      </w:r>
    </w:p>
    <w:p>
      <w:pPr>
        <w:numPr>
          <w:ilvl w:val="1"/>
          <w:numId w:val="1"/>
        </w:numPr>
      </w:pPr>
      <w:r>
        <w:rPr/>
        <w:t xml:space="preserve">analyse des données environnementales (ensoleillement ...)</w:t>
      </w:r>
    </w:p>
    <w:p>
      <w:pPr>
        <w:numPr>
          <w:ilvl w:val="1"/>
          <w:numId w:val="1"/>
        </w:numPr>
      </w:pPr>
      <w:r>
        <w:rPr/>
        <w:t xml:space="preserve">analyse des servitudes</w:t>
      </w:r>
    </w:p>
    <w:p>
      <w:pPr>
        <w:numPr>
          <w:ilvl w:val="1"/>
          <w:numId w:val="1"/>
        </w:numPr>
      </w:pPr>
      <w:r>
        <w:rPr/>
        <w:t xml:space="preserve">Faisabilité technique :</w:t>
      </w:r>
    </w:p>
    <w:p>
      <w:pPr>
        <w:numPr>
          <w:ilvl w:val="1"/>
          <w:numId w:val="1"/>
        </w:numPr>
      </w:pPr>
      <w:r>
        <w:rPr/>
        <w:t xml:space="preserve">analyse des contraintes constructives de portance des structures</w:t>
      </w:r>
    </w:p>
    <w:p>
      <w:pPr>
        <w:numPr>
          <w:ilvl w:val="1"/>
          <w:numId w:val="1"/>
        </w:numPr>
      </w:pPr>
      <w:r>
        <w:rPr/>
        <w:t xml:space="preserve">analyse des accessibilités, des stationnements</w:t>
      </w:r>
    </w:p>
    <w:p>
      <w:pPr>
        <w:numPr>
          <w:ilvl w:val="1"/>
          <w:numId w:val="1"/>
        </w:numPr>
      </w:pPr>
      <w:r>
        <w:rPr/>
        <w:t xml:space="preserve">Faisabilité économique et financière :</w:t>
      </w:r>
    </w:p>
    <w:p>
      <w:pPr>
        <w:numPr>
          <w:ilvl w:val="1"/>
          <w:numId w:val="1"/>
        </w:numPr>
      </w:pPr>
      <w:r>
        <w:rPr/>
        <w:t xml:space="preserve">prise en compte des financements du Client dans le phasage des opérations</w:t>
      </w:r>
    </w:p>
    <w:p>
      <w:pPr>
        <w:numPr>
          <w:ilvl w:val="1"/>
          <w:numId w:val="1"/>
        </w:numPr>
      </w:pPr>
      <w:r>
        <w:rPr/>
        <w:t xml:space="preserve">impact des choix programmatiques sur l’économie générale de l’opération</w:t>
      </w:r>
    </w:p>
    <w:p>
      <w:pPr>
        <w:numPr>
          <w:ilvl w:val="0"/>
          <w:numId w:val="1"/>
        </w:numPr>
      </w:pPr>
      <w:r>
        <w:rPr/>
        <w:t xml:space="preserve">L’analyse des éléments de programme</w:t>
      </w:r>
      <w:br/>
      <w:r>
        <w:rPr/>
        <w:t xml:space="preserve">Pour les opérations urbaines importantes, il peut exister une programmation spécifique pour chaque équipement public.</w:t>
      </w:r>
      <w:br/>
      <w:r>
        <w:rPr/>
        <w:t xml:space="preserve">Aussi, le Prestataire peut avoir trois types de missions :</w:t>
      </w:r>
    </w:p>
    <w:p>
      <w:pPr>
        <w:numPr>
          <w:ilvl w:val="1"/>
          <w:numId w:val="1"/>
        </w:numPr>
      </w:pPr>
      <w:r>
        <w:rPr/>
        <w:t xml:space="preserve">une mission de coordination de la programmation des équipements publics déjà programmés</w:t>
      </w:r>
    </w:p>
    <w:p>
      <w:pPr>
        <w:numPr>
          <w:ilvl w:val="1"/>
          <w:numId w:val="1"/>
        </w:numPr>
      </w:pPr>
      <w:r>
        <w:rPr/>
        <w:t xml:space="preserve">une mission de programmation pour les autres équipements non encore programmés</w:t>
      </w:r>
    </w:p>
    <w:p>
      <w:pPr>
        <w:numPr>
          <w:ilvl w:val="1"/>
          <w:numId w:val="1"/>
        </w:numPr>
      </w:pPr>
      <w:r>
        <w:rPr/>
        <w:t xml:space="preserve">le dessin de l’organisation spatiale des différents éléments de programme</w:t>
      </w:r>
    </w:p>
    <w:p>
      <w:pPr>
        <w:numPr>
          <w:ilvl w:val="0"/>
          <w:numId w:val="1"/>
        </w:numPr>
      </w:pPr>
      <w:r>
        <w:rPr/>
        <w:t xml:space="preserve">La participation aux réunions</w:t>
      </w:r>
      <w:br/>
      <w:r>
        <w:rPr/>
        <w:t xml:space="preserve"> Cette partie de mission qui peut être rémunérée à la vacation oblige le Prestataire à participer :</w:t>
      </w:r>
    </w:p>
    <w:p>
      <w:pPr>
        <w:numPr>
          <w:ilvl w:val="1"/>
          <w:numId w:val="1"/>
        </w:numPr>
      </w:pPr>
      <w:r>
        <w:rPr/>
        <w:t xml:space="preserve">aux réunions techniques internes avec le Client</w:t>
      </w:r>
    </w:p>
    <w:p>
      <w:pPr>
        <w:numPr>
          <w:ilvl w:val="1"/>
          <w:numId w:val="1"/>
        </w:numPr>
      </w:pPr>
      <w:r>
        <w:rPr/>
        <w:t xml:space="preserve">aux réunions thématiques organisées par le Client</w:t>
      </w:r>
    </w:p>
    <w:p>
      <w:pPr>
        <w:numPr>
          <w:ilvl w:val="1"/>
          <w:numId w:val="1"/>
        </w:numPr>
      </w:pPr>
      <w:r>
        <w:rPr/>
        <w:t xml:space="preserve">aux réunions d’exposition des enjeux et du programme desservi par le Client</w:t>
      </w:r>
    </w:p>
    <w:p>
      <w:pPr>
        <w:numPr>
          <w:ilvl w:val="0"/>
          <w:numId w:val="1"/>
        </w:numPr>
      </w:pPr>
      <w:r>
        <w:rPr/>
        <w:t xml:space="preserve">Rendu du programme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B03FDCE8"/>
    <w:multiLevelType w:val="multilevel"/>
    <w:lvl w:ilvl="0">
      <w:start w:val="1"/>
      <w:numFmt w:val="decimal"/>
      <w:suff w:val="tab"/>
      <w:lvlText w:val="%1."/>
      <w:lvlJc w:val="left"/>
      <w:pPr>
        <w:tabs>
          <w:tab w:val="num" w:pos="720"/>
        </w:tabs>
        <w:ind w:left="720" w:hanging="360"/>
      </w:pPr>
      <w:rPr>
        <w:rFonts/>
      </w:rPr>
    </w:lvl>
    <w:lvl w:ilvl="1">
      <w:start w:val="1"/>
      <w:numFmt w:val="lowerLetter"/>
      <w:suff w:val="tab"/>
      <w:lvlText w:val="%2."/>
      <w:lvlJc w:val="left"/>
      <w:pPr>
        <w:tabs>
          <w:tab w:val="num" w:pos="1440"/>
        </w:tabs>
        <w:ind w:left="1440" w:hanging="360"/>
      </w:pPr>
      <w:rPr>
        <w:rFonts/>
      </w:rPr>
    </w:lvl>
    <w:lvl w:ilvl="2">
      <w:start w:val="1"/>
      <w:numFmt w:val="lowerRoman"/>
      <w:suff w:val="tab"/>
      <w:lvlText w:val="%3."/>
      <w:lvlJc w:val="right"/>
      <w:pPr>
        <w:tabs>
          <w:tab w:val="num" w:pos="2160"/>
        </w:tabs>
        <w:ind w:left="2160" w:hanging="180"/>
      </w:pPr>
      <w:rPr>
        <w:rFonts/>
      </w:rPr>
    </w:lvl>
    <w:lvl w:ilvl="3">
      <w:start w:val="1"/>
      <w:numFmt w:val="decimal"/>
      <w:suff w:val="tab"/>
      <w:lvlText w:val="%4."/>
      <w:lvlJc w:val="left"/>
      <w:pPr>
        <w:tabs>
          <w:tab w:val="num" w:pos="2880"/>
        </w:tabs>
        <w:ind w:left="2880" w:hanging="360"/>
      </w:pPr>
      <w:rPr>
        <w:rFonts/>
      </w:rPr>
    </w:lvl>
    <w:lvl w:ilvl="4">
      <w:start w:val="1"/>
      <w:numFmt w:val="lowerLetter"/>
      <w:suff w:val="tab"/>
      <w:lvlText w:val="%5."/>
      <w:lvlJc w:val="left"/>
      <w:pPr>
        <w:tabs>
          <w:tab w:val="num" w:pos="3600"/>
        </w:tabs>
        <w:ind w:left="3600" w:hanging="360"/>
      </w:pPr>
      <w:rPr>
        <w:rFonts/>
      </w:rPr>
    </w:lvl>
    <w:lvl w:ilvl="5">
      <w:start w:val="1"/>
      <w:numFmt w:val="lowerRoman"/>
      <w:suff w:val="tab"/>
      <w:lvlText w:val="%6."/>
      <w:lvlJc w:val="right"/>
      <w:pPr>
        <w:tabs>
          <w:tab w:val="num" w:pos="4320"/>
        </w:tabs>
        <w:ind w:left="4320" w:hanging="180"/>
      </w:pPr>
      <w:rPr>
        <w:rFonts/>
      </w:rPr>
    </w:lvl>
    <w:lvl w:ilvl="6">
      <w:start w:val="1"/>
      <w:numFmt w:val="decimal"/>
      <w:suff w:val="tab"/>
      <w:lvlText w:val="%7."/>
      <w:lvlJc w:val="left"/>
      <w:pPr>
        <w:tabs>
          <w:tab w:val="num" w:pos="5040"/>
        </w:tabs>
        <w:ind w:left="5040" w:hanging="360"/>
      </w:pPr>
      <w:rPr>
        <w:rFonts/>
      </w:rPr>
    </w:lvl>
    <w:lvl w:ilvl="7">
      <w:start w:val="1"/>
      <w:numFmt w:val="lowerLetter"/>
      <w:suff w:val="tab"/>
      <w:lvlText w:val="%8."/>
      <w:lvlJc w:val="left"/>
      <w:pPr>
        <w:tabs>
          <w:tab w:val="num" w:pos="5760"/>
        </w:tabs>
        <w:ind w:left="5760" w:hanging="360"/>
      </w:pPr>
      <w:rPr>
        <w:rFonts/>
      </w:rPr>
    </w:lvl>
    <w:lvl w:ilvl="8">
      <w:start w:val="1"/>
      <w:numFmt w:val="lowerRoman"/>
      <w:suff w:val="tab"/>
      <w:lvlText w:val="%9."/>
      <w:lvlJc w:val="right"/>
      <w:pPr>
        <w:tabs>
          <w:tab w:val="num" w:pos="6480"/>
        </w:tabs>
        <w:ind w:left="6480" w:hanging="180"/>
      </w:pPr>
      <w:rPr>
        <w:rFonts/>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2025-06-09T15:04:03+02:00</dcterms:created>
  <dcterms:modified xsi:type="dcterms:W3CDTF">2025-06-09T15:04:03+02:00</dcterms:modified>
</cp:coreProperties>
</file>

<file path=docProps/custom.xml><?xml version="1.0" encoding="utf-8"?>
<Properties xmlns="http://schemas.openxmlformats.org/officeDocument/2006/custom-properties" xmlns:vt="http://schemas.openxmlformats.org/officeDocument/2006/docPropsVTypes"/>
</file>