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un groupement conjoint (ou solidaire) de maîtrise d’œuvre.</w:t>
      </w:r>
    </w:p>
    <w:p>
      <w:pPr/>
      <w:r>
        <w:rPr/>
        <w:t xml:space="preserve">Le mandataire du groupement est […]. Il assume à ce titre les tâches spécifiques suivantes :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Il est l’interlocuteur de référence du Client pour l’exécution du présent contrat. Le Client s’engage à ne pas communiquer directement avec les autres membres du groupement.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AAEF884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2025-06-09T15:03:29+02:00</dcterms:created>
  <dcterms:modified xsi:type="dcterms:W3CDTF">2025-06-09T15:03:29+02:00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