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s’engage à exécuter ses prestations en considération des objectifs définis aux articles 2.2 et 2.3.</w:t>
      </w:r>
    </w:p>
    <w:p>
      <w:pPr/>
      <w:r>
        <w:rPr/>
        <w:t xml:space="preserve">Le Prestataire établira la valeur estimative des travaux lors de chaque étape d’études.</w:t>
      </w:r>
      <w:br/>
    </w:p>
    <w:p>
      <w:pPr/>
      <w:r>
        <w:rPr/>
        <w:t xml:space="preserve">L’estimation porte sur les travaux réalisés sur le site – en corps d’états séparés/entreprise générale –, compte tenu du projet et des connaissances du marché local.</w:t>
      </w:r>
    </w:p>
    <w:p>
      <w:pPr/>
      <w:r>
        <w:rPr/>
        <w:t xml:space="preserve">Le Prestataire effectue ses études dans un objectif de respect de l’enveloppe financière prévisionnelle initiale affectée d’un taux de tolérance de [+/- X %] par étape.</w:t>
      </w:r>
    </w:p>
    <w:p>
      <w:pPr/>
      <w:r>
        <w:rPr/>
        <w:t xml:space="preserve">Au taux de tolérance précité s’ajoute la prise en compte de la fluctuation locale des prix de construction, de l’évolution des taux de change touchant certains travaux, des changements de programme ou des prestations complémentaires et de l’impact éventuel de changements de la réglementation applicable ou de son interprétation par l’organisme d’audit technique réglementaire. Si ces événements modifient le montant des travaux, le Prestataire en estimera l’impact financier.</w:t>
      </w:r>
    </w:p>
    <w:p>
      <w:pPr/>
      <w:r>
        <w:rPr/>
        <w:t xml:space="preserve">Le Prestataire vérifie que l’exécution des travaux respecte l’enveloppe financière résultant des appels d’offres des entreprises de travaux et de leur marché avec un taux de tolérance de [+/- X %]. Si tel n’est pas le cas, il se doit d’en alerter le Client, sachant que cette vérification n’inclut pas les demandes ne concernant pas l’exécution de la mission du Prestataire.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2025-06-09T15:02:15+02:00</dcterms:created>
  <dcterms:modified xsi:type="dcterms:W3CDTF">2025-06-09T15:02:15+02:00</dcterms:modified>
</cp:coreProperties>
</file>

<file path=docProps/custom.xml><?xml version="1.0" encoding="utf-8"?>
<Properties xmlns="http://schemas.openxmlformats.org/officeDocument/2006/custom-properties" xmlns:vt="http://schemas.openxmlformats.org/officeDocument/2006/docPropsVTypes"/>
</file>