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In the event of repetition by the Client of the building designed by the Consultant, the construction of a similar work on another site, the Client shall pay the Consultant a fee that corresponds to financial consideration for the acquisition of the corresponding rights. This sum shall be equivalent to 20 % of the amount of the design Work Stage fees of this Agreement.</w:t>
      </w:r>
    </w:p>
    <w:p>
      <w:pPr/>
      <w:r>
        <w:rPr/>
        <w:t xml:space="preserve">Furthermore, in consideration for the royalties paid by the Client to the Consultant for a sum of [...], exclusive of VAT, paid upon the signature of this Agreement/upon hand over of the Works…, the Consultant transfers to Client, for a duration of […] years, and for… (France, Europe or the World) in accordance with the following methods of reproduction : books, photographs, CD, television, the rights of representation and reproduction of his/her design studies, drawings, sketches, plans, models and/or his/her rights of representation (exhibitions) for the specific needs of the promotion of the project subject to this Agreement.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2025-06-09T15:01:55+02:00</dcterms:created>
  <dcterms:modified xsi:type="dcterms:W3CDTF">2025-06-09T15:01:55+02:00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