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Pour l’exécution de la prestation de base (étapes […]), le Client s’engage à payer au Prestataire une rémunération calculée par application d’un taux forfaitaire de […] au montant des travaux hors taxes recouvrables.</w:t>
      </w:r>
    </w:p>
    <w:p>
      <w:pPr/>
      <w:r>
        <w:rPr/>
        <w:t xml:space="preserve">Le taux des prestations optionnelles :</w:t>
      </w:r>
    </w:p>
    <w:p>
      <w:pPr>
        <w:numPr>
          <w:ilvl w:val="0"/>
          <w:numId w:val="1"/>
        </w:numPr>
      </w:pPr>
      <w:r>
        <w:rPr/>
        <w:t xml:space="preserve">A : […]</w:t>
      </w:r>
    </w:p>
    <w:p>
      <w:pPr>
        <w:numPr>
          <w:ilvl w:val="0"/>
          <w:numId w:val="1"/>
        </w:numPr>
      </w:pPr>
      <w:r>
        <w:rPr/>
        <w:t xml:space="preserve">B : […]</w:t>
      </w:r>
    </w:p>
    <w:p>
      <w:pPr/>
      <w:r>
        <w:rPr/>
        <w:t xml:space="preserve">Les taux s’appliquent sur l’estimation prévisionnelle initiale des travaux pour les étapes […]. Ils s’appliquent sur la valeur de la somme des marchés de travaux pour la rémunération des étapes […] dans la limite du taux de tolérance. Les honoraires seront forfaitisés de manière non révisable pour les étapes […]. Cette absence de révision est effective sous réserve que la fin de l’étape […] soit antérieure à […] après la remise de l’esquisse adaptée, soit le […].</w:t>
      </w:r>
    </w:p>
    <w:p>
      <w:pPr/>
      <w:r>
        <w:rPr/>
        <w:t xml:space="preserve">A la signature des marchés d’entreprises, le forfait de rémunération est arrêté sur la valeur de référence des travaux, telle qu’elle ressort de l’appel d’offres.</w:t>
      </w:r>
    </w:p>
    <w:p>
      <w:pPr/>
      <w:r>
        <w:rPr/>
        <w:t xml:space="preserve">Les honoraires des étapes de chantier sont révisés proportionnellement à l’évolution de l’indice […] suivant la formule […].</w:t>
      </w:r>
    </w:p>
    <w:p>
      <w:pPr/>
      <w:r>
        <w:rPr/>
        <w:t xml:space="preserve">En rémunération de la prestation ci-avant définie, le Client versera au Prestataire des honoraires, selon les ventilations par étape et répartitions par cotraitant suivants :</w:t>
      </w:r>
    </w:p>
    <w:p>
      <w:pPr>
        <w:numPr>
          <w:ilvl w:val="0"/>
          <w:numId w:val="2"/>
        </w:numPr>
      </w:pPr>
      <w:r>
        <w:rPr/>
        <w:t xml:space="preserve">[…]</w:t>
      </w:r>
    </w:p>
    <w:p>
      <w:pPr/>
      <w:r>
        <w:rPr/>
        <w:t xml:space="preserve">Le forfait pour la prestation […] est fixé à […] révisable suivant la même règle que les honoraires des étapes de chantier et avec la répartition suivante :</w:t>
      </w:r>
    </w:p>
    <w:p>
      <w:pPr>
        <w:numPr>
          <w:ilvl w:val="0"/>
          <w:numId w:val="3"/>
        </w:numPr>
      </w:pPr>
      <w:r>
        <w:rPr/>
        <w:t xml:space="preserve">[…]</w:t>
      </w:r>
    </w:p>
    <w:p>
      <w:pPr/>
      <w:r>
        <w:rPr/>
        <w:t xml:space="preserve">La rémunération principale inclut […] voyages de […] jours de […] personnes par étapes et […] visites de chantier.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3EF41C6C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89DACF74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99C5F3B4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2025-06-09T15:03:38+02:00</dcterms:created>
  <dcterms:modified xsi:type="dcterms:W3CDTF">2025-06-09T15:03:38+02:00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