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Other than the conditions determined by this Article, the Consultant shall undertake the organisation of the services allocated to his/her sub-consultants.</w:t>
      </w:r>
    </w:p>
    <w:p>
      <w:pPr/>
      <w:r>
        <w:rPr/>
        <w:t xml:space="preserve">The Consultant assigns all or part of the engineering services and his appointment to :</w:t>
      </w:r>
    </w:p>
    <w:p>
      <w:pPr>
        <w:numPr>
          <w:ilvl w:val="0"/>
          <w:numId w:val="1"/>
        </w:numPr>
      </w:pPr>
      <w:r>
        <w:rPr/>
        <w:t xml:space="preserve">[…], whose head office is located at […] registered with the RCS at […] under the registration number [...] sub-consultant of […].</w:t>
      </w:r>
    </w:p>
    <w:p>
      <w:pPr>
        <w:numPr>
          <w:ilvl w:val="0"/>
          <w:numId w:val="1"/>
        </w:numPr>
      </w:pPr>
      <w:r>
        <w:rPr/>
        <w:t xml:space="preserve">[…], whose head office is located at […] registered with the RCS at […] under the registration number [...] sub-consultant of […].</w:t>
      </w:r>
    </w:p>
    <w:p>
      <w:pPr/>
      <w:r>
        <w:rPr/>
        <w:t xml:space="preserve">Furthermore, the Consultant can retain other specialists as sub-consultants during his/her appointment. He/She shall notify the Client as to the main sub-consultants to be considered and the services to be conferred. The Client can refuse, with reasonable justification that all or part of an appointment be assigned to a sub-consultant, to be notified within a period of […] if his/her services corresponds to more than 5 % of the Consultant’s appointment.</w:t>
      </w:r>
    </w:p>
    <w:p>
      <w:pPr/>
      <w:r>
        <w:rPr/>
        <w:t xml:space="preserve">The Client wished to confide the […] appointment to the […] company.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D2A3E636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2025-06-09T15:02:31+02:00</dcterms:created>
  <dcterms:modified xsi:type="dcterms:W3CDTF">2025-06-09T15:02:31+02:00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