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In the event of conflict in respect to the carrying out of the Agreement, each party shall send a registered letter to the other party setting out his/ her complaints and their consequences. On receipt of the letter, the addressee has one month to reply. This procedure neither suspends nor terminates the Agreement.</w:t>
      </w:r>
    </w:p>
    <w:p>
      <w:pPr/>
      <w:r>
        <w:rPr/>
        <w:t xml:space="preserve">In the event of disagreement, the parties undertake to have recourse to a procedure of amicable settlement before any form of litigation.</w:t>
      </w:r>
    </w:p>
    <w:p>
      <w:pPr/>
      <w:r>
        <w:rPr/>
        <w:t xml:space="preserve">The procedure shall be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2025-06-09T15:03:03+02:00</dcterms:created>
  <dcterms:modified xsi:type="dcterms:W3CDTF">2025-06-09T15:03:03+02:00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