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En cas de désaccord sur les modalités d’exécution du contrat, chaque partie doit adresser un courrier recommandé à l’autre partie pour lui exposer ses griefs et leurs conséquences. Le destinataire dispose d’un mois après réception pour répondre. Cette procédure ne suspend ni ne résilie le contrat.</w:t>
      </w:r>
    </w:p>
    <w:p>
      <w:pPr/>
      <w:r>
        <w:rPr/>
        <w:t xml:space="preserve">En cas de difficultés, les parties s’engagent à recourir à une procédure de règlement amiable avant tout recours contentieux.</w:t>
      </w:r>
    </w:p>
    <w:p>
      <w:pPr/>
      <w:r>
        <w:rPr/>
        <w:t xml:space="preserve">La procédure mise en place sera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2025-06-09T15:03:04+02:00</dcterms:created>
  <dcterms:modified xsi:type="dcterms:W3CDTF">2025-06-09T15:03:04+02:00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