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Penalties against the Consultant shall not be incurred until after a formal complaint has been filed by the Client.</w:t>
      </w:r>
    </w:p>
    <w:p>
      <w:pPr/>
      <w:r>
        <w:rPr/>
        <w:t xml:space="preserve">The existence of indemnities that are capped and discharged, limit the liability of the Consultant.</w:t>
      </w:r>
    </w:p>
    <w:p>
      <w:pPr/>
      <w:r>
        <w:rPr/>
        <w:t xml:space="preserve">Penalties of 1/200th of the Work Stage fee per working day of delay from the end of the Work Stage may apply.</w:t>
      </w:r>
    </w:p>
    <w:p>
      <w:pPr/>
      <w:r>
        <w:rPr/>
        <w:t xml:space="preserve">Possible penalties are discharged and capped at 5 % of the total amount of the fees scheduled in the Agreement.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2025-06-09T15:01:12+02:00</dcterms:created>
  <dcterms:modified xsi:type="dcterms:W3CDTF">2025-06-09T15:01:12+02:00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