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/>
        <w:t xml:space="preserve">In the Tender Action Work Stage, all parties shall respect the confidentiality with respect to the content of the Tender File.</w:t>
      </w:r>
    </w:p>
    <w:p>
      <w:pPr/>
      <w:r>
        <w:rPr/>
        <w:t xml:space="preserve">The Consultant shall not be liable for compliance with this obligation for confidentiality by third parties.</w:t>
      </w:r>
    </w:p>
    <w:p>
      <w:pPr/>
      <w:r>
        <w:rPr/>
        <w:t xml:space="preserve">The Consultant shall be entitled to publish in magazines or newspapers of his/her choice, notably in France, his/her studies or projects carried out under this Agreement provided that the name of the Client is mentioned.</w:t>
      </w:r>
    </w:p>
    <w:p>
      <w:pPr/>
      <w:r>
        <w:rPr/>
        <w:t xml:space="preserve">However, the Consultant undertakes not to publish the project before its commercialisation.</w:t>
      </w:r>
    </w:p>
    <w:sectPr>
      <w:pgSz w:orient="portrait" w:w="11905.511811023622" w:h="16837.79527559055"/>
      <w:pgMar w:top="1440" w:right="1440" w:bottom="1440" w:left="1440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2025-06-09T15:04:35+02:00</dcterms:created>
  <dcterms:modified xsi:type="dcterms:W3CDTF">2025-06-09T15:04:35+02:00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